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69D" w:rsidRPr="00633370" w:rsidRDefault="0082169D" w:rsidP="00875878">
      <w:pPr>
        <w:rPr>
          <w:rFonts w:cstheme="minorHAnsi"/>
          <w:b/>
          <w:u w:val="single"/>
        </w:rPr>
      </w:pPr>
    </w:p>
    <w:p w:rsidR="0082169D" w:rsidRPr="00633370" w:rsidRDefault="0082169D" w:rsidP="00875878">
      <w:pPr>
        <w:rPr>
          <w:rFonts w:cstheme="minorHAnsi"/>
          <w:b/>
          <w:u w:val="single"/>
        </w:rPr>
      </w:pPr>
    </w:p>
    <w:p w:rsidR="00875878" w:rsidRPr="00633370" w:rsidRDefault="00875878" w:rsidP="00875878">
      <w:pPr>
        <w:rPr>
          <w:rFonts w:cstheme="minorHAnsi"/>
          <w:b/>
          <w:sz w:val="28"/>
          <w:szCs w:val="28"/>
          <w:u w:val="single"/>
        </w:rPr>
      </w:pPr>
      <w:r w:rsidRPr="00633370">
        <w:rPr>
          <w:rFonts w:cstheme="minorHAnsi"/>
          <w:b/>
          <w:sz w:val="28"/>
          <w:szCs w:val="28"/>
          <w:u w:val="single"/>
        </w:rPr>
        <w:t xml:space="preserve">Descriptif-type Mur </w:t>
      </w:r>
      <w:proofErr w:type="spellStart"/>
      <w:r w:rsidRPr="00633370">
        <w:rPr>
          <w:rFonts w:cstheme="minorHAnsi"/>
          <w:b/>
          <w:sz w:val="28"/>
          <w:szCs w:val="28"/>
          <w:u w:val="single"/>
        </w:rPr>
        <w:t>Précoffré</w:t>
      </w:r>
      <w:proofErr w:type="spellEnd"/>
      <w:r w:rsidRPr="00633370">
        <w:rPr>
          <w:rFonts w:cstheme="minorHAnsi"/>
          <w:b/>
          <w:sz w:val="28"/>
          <w:szCs w:val="28"/>
          <w:u w:val="single"/>
        </w:rPr>
        <w:t>® Thermique :</w:t>
      </w:r>
    </w:p>
    <w:p w:rsidR="00875878" w:rsidRPr="00633370" w:rsidRDefault="00875878" w:rsidP="00875878">
      <w:pPr>
        <w:pStyle w:val="Titre2"/>
        <w:rPr>
          <w:rFonts w:asciiTheme="minorHAnsi" w:hAnsiTheme="minorHAnsi" w:cstheme="minorHAnsi"/>
          <w:sz w:val="22"/>
          <w:szCs w:val="22"/>
        </w:rPr>
      </w:pPr>
      <w:r w:rsidRPr="00633370">
        <w:rPr>
          <w:rFonts w:asciiTheme="minorHAnsi" w:hAnsiTheme="minorHAnsi" w:cstheme="minorHAnsi"/>
          <w:sz w:val="22"/>
          <w:szCs w:val="22"/>
          <w:u w:val="single"/>
        </w:rPr>
        <w:t>Objet </w:t>
      </w:r>
      <w:r w:rsidRPr="00633370">
        <w:rPr>
          <w:rFonts w:asciiTheme="minorHAnsi" w:hAnsiTheme="minorHAnsi" w:cstheme="minorHAnsi"/>
          <w:sz w:val="22"/>
          <w:szCs w:val="22"/>
        </w:rPr>
        <w:t>: Réalisation des parois extérieures au moyen de Murs à Coffrage et Isolation Intégrée (MC2I), constitués de panneaux de type PRECOFFRES® TH, de la société FEHR SA, ou équivalent.</w:t>
      </w:r>
    </w:p>
    <w:p w:rsidR="00875878" w:rsidRPr="00633370" w:rsidRDefault="00875878" w:rsidP="00875878">
      <w:pPr>
        <w:rPr>
          <w:rFonts w:cstheme="minorHAnsi"/>
          <w:u w:val="single"/>
        </w:rPr>
      </w:pPr>
    </w:p>
    <w:p w:rsidR="00875878" w:rsidRPr="00633370" w:rsidRDefault="00875878" w:rsidP="00875878">
      <w:pPr>
        <w:rPr>
          <w:rFonts w:cstheme="minorHAnsi"/>
          <w:u w:val="single"/>
        </w:rPr>
      </w:pPr>
      <w:r w:rsidRPr="00633370">
        <w:rPr>
          <w:rFonts w:cstheme="minorHAnsi"/>
          <w:u w:val="single"/>
        </w:rPr>
        <w:t>Description :</w:t>
      </w:r>
    </w:p>
    <w:p w:rsidR="00875878" w:rsidRPr="00633370" w:rsidRDefault="00875878" w:rsidP="00875878">
      <w:pPr>
        <w:widowControl w:val="0"/>
        <w:autoSpaceDE w:val="0"/>
        <w:autoSpaceDN w:val="0"/>
        <w:adjustRightInd w:val="0"/>
        <w:jc w:val="both"/>
        <w:rPr>
          <w:rFonts w:cstheme="minorHAnsi"/>
        </w:rPr>
      </w:pPr>
      <w:r w:rsidRPr="00633370">
        <w:rPr>
          <w:rFonts w:cstheme="minorHAnsi"/>
        </w:rPr>
        <w:t xml:space="preserve">Réalisation des parois selon le principe de Murs à Coffrage et Isolation Intégrée (MC2I), de type </w:t>
      </w:r>
      <w:proofErr w:type="spellStart"/>
      <w:r w:rsidRPr="00633370">
        <w:rPr>
          <w:rFonts w:cstheme="minorHAnsi"/>
        </w:rPr>
        <w:t>Précoffré</w:t>
      </w:r>
      <w:proofErr w:type="spellEnd"/>
      <w:r w:rsidRPr="00633370">
        <w:rPr>
          <w:rFonts w:cstheme="minorHAnsi"/>
        </w:rPr>
        <w:t>® TH de la société FEHR SA exécutés conformément à l’Avis Technique 3.2/17-842_V1 ou équivalent.</w:t>
      </w:r>
    </w:p>
    <w:p w:rsidR="00875878" w:rsidRPr="00633370" w:rsidRDefault="00875878" w:rsidP="00875878">
      <w:pPr>
        <w:widowControl w:val="0"/>
        <w:autoSpaceDE w:val="0"/>
        <w:autoSpaceDN w:val="0"/>
        <w:adjustRightInd w:val="0"/>
        <w:jc w:val="both"/>
        <w:rPr>
          <w:rFonts w:cstheme="minorHAnsi"/>
        </w:rPr>
      </w:pPr>
      <w:r w:rsidRPr="00633370">
        <w:rPr>
          <w:rFonts w:cstheme="minorHAnsi"/>
        </w:rPr>
        <w:t>Cette conception permet d’assurer l’isolation thermique, en disposant l’isolant thermique côté extérieur, ce qui élimine entre autres les ponts thermiques au niveau des liaisons avec les dalles intermédiaires et supérieures.</w:t>
      </w:r>
    </w:p>
    <w:p w:rsidR="00875878" w:rsidRPr="00633370" w:rsidRDefault="00875878" w:rsidP="00875878">
      <w:pPr>
        <w:widowControl w:val="0"/>
        <w:autoSpaceDE w:val="0"/>
        <w:autoSpaceDN w:val="0"/>
        <w:adjustRightInd w:val="0"/>
        <w:jc w:val="both"/>
        <w:rPr>
          <w:rFonts w:cstheme="minorHAnsi"/>
        </w:rPr>
      </w:pPr>
      <w:r w:rsidRPr="00633370">
        <w:rPr>
          <w:rFonts w:cstheme="minorHAnsi"/>
        </w:rPr>
        <w:t>Les études structurelles, permettant de déterminer les diverses reprises de contraintes et les armatures nécessaires restent du ressort de l’Entreprise générale.</w:t>
      </w:r>
    </w:p>
    <w:p w:rsidR="00875878" w:rsidRPr="00633370" w:rsidRDefault="00875878" w:rsidP="00875878">
      <w:pPr>
        <w:jc w:val="both"/>
        <w:rPr>
          <w:rFonts w:cstheme="minorHAnsi"/>
        </w:rPr>
      </w:pPr>
      <w:r w:rsidRPr="00633370">
        <w:rPr>
          <w:rFonts w:cstheme="minorHAnsi"/>
        </w:rPr>
        <w:t xml:space="preserve">Le </w:t>
      </w:r>
      <w:proofErr w:type="spellStart"/>
      <w:r w:rsidRPr="00633370">
        <w:rPr>
          <w:rFonts w:cstheme="minorHAnsi"/>
        </w:rPr>
        <w:t>préfabricant</w:t>
      </w:r>
      <w:proofErr w:type="spellEnd"/>
      <w:r w:rsidRPr="00633370">
        <w:rPr>
          <w:rFonts w:cstheme="minorHAnsi"/>
        </w:rPr>
        <w:t xml:space="preserve"> transmettra avant exécution pour approbation, au Maître d’œuvre, aux bureaux de structures et de contrôle, les plans de calepinage des panneaux en fonction des possibilités de préfabrication et plans de façade.</w:t>
      </w:r>
    </w:p>
    <w:p w:rsidR="00875878" w:rsidRPr="00633370" w:rsidRDefault="00875878" w:rsidP="00875878">
      <w:pPr>
        <w:jc w:val="both"/>
        <w:rPr>
          <w:rFonts w:cstheme="minorHAnsi"/>
        </w:rPr>
      </w:pPr>
    </w:p>
    <w:p w:rsidR="00875878" w:rsidRPr="00633370" w:rsidRDefault="00875878" w:rsidP="00875878">
      <w:pPr>
        <w:widowControl w:val="0"/>
        <w:autoSpaceDE w:val="0"/>
        <w:autoSpaceDN w:val="0"/>
        <w:adjustRightInd w:val="0"/>
        <w:ind w:right="601"/>
        <w:jc w:val="both"/>
        <w:rPr>
          <w:rFonts w:cstheme="minorHAnsi"/>
          <w:u w:val="single"/>
        </w:rPr>
      </w:pPr>
      <w:r w:rsidRPr="00633370">
        <w:rPr>
          <w:rFonts w:cstheme="minorHAnsi"/>
          <w:u w:val="single"/>
        </w:rPr>
        <w:t>Constitution :</w:t>
      </w:r>
    </w:p>
    <w:p w:rsidR="00875878" w:rsidRPr="00633370" w:rsidRDefault="00875878" w:rsidP="00633370">
      <w:pPr>
        <w:widowControl w:val="0"/>
        <w:autoSpaceDE w:val="0"/>
        <w:autoSpaceDN w:val="0"/>
        <w:adjustRightInd w:val="0"/>
        <w:ind w:right="601"/>
        <w:jc w:val="both"/>
        <w:rPr>
          <w:rFonts w:cstheme="minorHAnsi"/>
        </w:rPr>
      </w:pPr>
      <w:r w:rsidRPr="00633370">
        <w:rPr>
          <w:rFonts w:cstheme="minorHAnsi"/>
        </w:rPr>
        <w:t xml:space="preserve">Les murs </w:t>
      </w:r>
      <w:proofErr w:type="spellStart"/>
      <w:r w:rsidRPr="00633370">
        <w:rPr>
          <w:rFonts w:cstheme="minorHAnsi"/>
        </w:rPr>
        <w:t>Précoffré</w:t>
      </w:r>
      <w:proofErr w:type="spellEnd"/>
      <w:r w:rsidRPr="00633370">
        <w:rPr>
          <w:rFonts w:cstheme="minorHAnsi"/>
        </w:rPr>
        <w:t>® Thermiques sont constitués, de :</w:t>
      </w:r>
    </w:p>
    <w:p w:rsidR="00875878" w:rsidRPr="00633370" w:rsidRDefault="00875878" w:rsidP="00875878">
      <w:pPr>
        <w:pStyle w:val="Paragraphedeliste"/>
        <w:widowControl w:val="0"/>
        <w:autoSpaceDE w:val="0"/>
        <w:autoSpaceDN w:val="0"/>
        <w:adjustRightInd w:val="0"/>
        <w:ind w:left="360" w:right="601"/>
        <w:jc w:val="both"/>
        <w:rPr>
          <w:rFonts w:asciiTheme="minorHAnsi" w:hAnsiTheme="minorHAnsi" w:cstheme="minorHAnsi"/>
          <w:sz w:val="22"/>
          <w:szCs w:val="22"/>
        </w:rPr>
      </w:pPr>
    </w:p>
    <w:p w:rsidR="00875878" w:rsidRPr="00633370" w:rsidRDefault="00875878" w:rsidP="00875878">
      <w:pPr>
        <w:numPr>
          <w:ilvl w:val="0"/>
          <w:numId w:val="2"/>
        </w:numPr>
        <w:spacing w:after="0" w:line="240" w:lineRule="auto"/>
        <w:jc w:val="both"/>
        <w:rPr>
          <w:rFonts w:cstheme="minorHAnsi"/>
        </w:rPr>
      </w:pPr>
      <w:r w:rsidRPr="00633370">
        <w:rPr>
          <w:rFonts w:cstheme="minorHAnsi"/>
        </w:rPr>
        <w:t>Voile préfabriqué intérieur de 6 à 7.5 cm équipé d’une nappe d’armature et de raidisseurs assurant le monolithisme avec le noyau coulé en place.</w:t>
      </w:r>
    </w:p>
    <w:p w:rsidR="00875878" w:rsidRPr="00633370" w:rsidRDefault="00875878" w:rsidP="00875878">
      <w:pPr>
        <w:numPr>
          <w:ilvl w:val="0"/>
          <w:numId w:val="2"/>
        </w:numPr>
        <w:spacing w:after="0" w:line="240" w:lineRule="auto"/>
        <w:jc w:val="both"/>
        <w:rPr>
          <w:rFonts w:cstheme="minorHAnsi"/>
        </w:rPr>
      </w:pPr>
      <w:r w:rsidRPr="00633370">
        <w:rPr>
          <w:rFonts w:cstheme="minorHAnsi"/>
        </w:rPr>
        <w:t>Un vide correspondant au noyau coulé en place d’au moins 10 cm d’épaisseur et dans lequel sont disposées, lors de la préfabrication en Usine, les armatures structurelles, définies par le BET de l’Entreprise.</w:t>
      </w:r>
    </w:p>
    <w:p w:rsidR="00875878" w:rsidRPr="00633370" w:rsidRDefault="00875878" w:rsidP="00875878">
      <w:pPr>
        <w:numPr>
          <w:ilvl w:val="0"/>
          <w:numId w:val="2"/>
        </w:numPr>
        <w:spacing w:after="0" w:line="240" w:lineRule="auto"/>
        <w:jc w:val="both"/>
        <w:rPr>
          <w:rFonts w:cstheme="minorHAnsi"/>
        </w:rPr>
      </w:pPr>
      <w:r w:rsidRPr="00633370">
        <w:rPr>
          <w:rFonts w:cstheme="minorHAnsi"/>
        </w:rPr>
        <w:t xml:space="preserve">Un isolant thermique d’épaisseur comprise entre 6 et 20 cm, avec classement ACERMI, contre la paroi extérieure, pour obtenir la valeur </w:t>
      </w:r>
      <w:proofErr w:type="spellStart"/>
      <w:r w:rsidRPr="00633370">
        <w:rPr>
          <w:rFonts w:cstheme="minorHAnsi"/>
        </w:rPr>
        <w:t>Uparoi</w:t>
      </w:r>
      <w:proofErr w:type="spellEnd"/>
      <w:r w:rsidRPr="00633370">
        <w:rPr>
          <w:rFonts w:cstheme="minorHAnsi"/>
        </w:rPr>
        <w:t xml:space="preserve"> = …… W/m</w:t>
      </w:r>
      <w:proofErr w:type="gramStart"/>
      <w:r w:rsidRPr="00633370">
        <w:rPr>
          <w:rFonts w:cstheme="minorHAnsi"/>
        </w:rPr>
        <w:t>².K</w:t>
      </w:r>
      <w:proofErr w:type="gramEnd"/>
    </w:p>
    <w:p w:rsidR="00875878" w:rsidRPr="00633370" w:rsidRDefault="00875878" w:rsidP="00875878">
      <w:pPr>
        <w:numPr>
          <w:ilvl w:val="0"/>
          <w:numId w:val="2"/>
        </w:numPr>
        <w:spacing w:after="0" w:line="240" w:lineRule="auto"/>
        <w:jc w:val="both"/>
        <w:rPr>
          <w:rFonts w:cstheme="minorHAnsi"/>
        </w:rPr>
      </w:pPr>
      <w:r w:rsidRPr="00633370">
        <w:rPr>
          <w:rFonts w:cstheme="minorHAnsi"/>
        </w:rPr>
        <w:t>Voile préfabriqué extérieur de 6 à 9 cm d’épaisseur équipé d’une nappe d’armature. La paroi extérieure est librement dilatable et non structurelle</w:t>
      </w:r>
    </w:p>
    <w:p w:rsidR="00875878" w:rsidRPr="00633370" w:rsidRDefault="00875878" w:rsidP="00875878">
      <w:pPr>
        <w:ind w:left="720"/>
        <w:jc w:val="both"/>
        <w:rPr>
          <w:rFonts w:cstheme="minorHAnsi"/>
        </w:rPr>
      </w:pPr>
    </w:p>
    <w:p w:rsidR="00633370" w:rsidRPr="00633370" w:rsidRDefault="00633370" w:rsidP="00875878">
      <w:pPr>
        <w:ind w:left="720"/>
        <w:jc w:val="both"/>
        <w:rPr>
          <w:rFonts w:cstheme="minorHAnsi"/>
        </w:rPr>
      </w:pPr>
    </w:p>
    <w:p w:rsidR="00633370" w:rsidRPr="00633370" w:rsidRDefault="00633370" w:rsidP="00875878">
      <w:pPr>
        <w:ind w:left="720"/>
        <w:jc w:val="both"/>
        <w:rPr>
          <w:rFonts w:cstheme="minorHAnsi"/>
        </w:rPr>
      </w:pPr>
    </w:p>
    <w:p w:rsidR="00633370" w:rsidRPr="00633370" w:rsidRDefault="00633370" w:rsidP="00875878">
      <w:pPr>
        <w:ind w:left="720"/>
        <w:jc w:val="both"/>
        <w:rPr>
          <w:rFonts w:cstheme="minorHAnsi"/>
        </w:rPr>
      </w:pPr>
    </w:p>
    <w:p w:rsidR="00633370" w:rsidRPr="00633370" w:rsidRDefault="00633370" w:rsidP="00875878">
      <w:pPr>
        <w:ind w:left="720"/>
        <w:jc w:val="both"/>
        <w:rPr>
          <w:rFonts w:cstheme="minorHAnsi"/>
        </w:rPr>
      </w:pPr>
    </w:p>
    <w:p w:rsidR="00633370" w:rsidRPr="00633370" w:rsidRDefault="00633370" w:rsidP="00875878">
      <w:pPr>
        <w:ind w:left="720"/>
        <w:jc w:val="both"/>
        <w:rPr>
          <w:rFonts w:cstheme="minorHAnsi"/>
        </w:rPr>
      </w:pPr>
    </w:p>
    <w:p w:rsidR="00633370" w:rsidRPr="00633370" w:rsidRDefault="00633370" w:rsidP="00875878">
      <w:pPr>
        <w:ind w:left="720"/>
        <w:jc w:val="both"/>
        <w:rPr>
          <w:rFonts w:cstheme="minorHAnsi"/>
        </w:rPr>
      </w:pPr>
    </w:p>
    <w:p w:rsidR="00875878" w:rsidRPr="00633370" w:rsidRDefault="00875878" w:rsidP="00633370">
      <w:pPr>
        <w:jc w:val="both"/>
        <w:rPr>
          <w:rFonts w:cstheme="minorHAnsi"/>
          <w:u w:val="single"/>
        </w:rPr>
      </w:pPr>
      <w:r w:rsidRPr="00633370">
        <w:rPr>
          <w:rFonts w:cstheme="minorHAnsi"/>
          <w:u w:val="single"/>
        </w:rPr>
        <w:lastRenderedPageBreak/>
        <w:t>Dispositions constructives :</w:t>
      </w:r>
    </w:p>
    <w:p w:rsidR="00875878" w:rsidRPr="00633370" w:rsidRDefault="00875878" w:rsidP="00875878">
      <w:pPr>
        <w:pStyle w:val="Paragraphedeliste"/>
        <w:numPr>
          <w:ilvl w:val="0"/>
          <w:numId w:val="3"/>
        </w:numPr>
        <w:ind w:firstLine="66"/>
        <w:jc w:val="both"/>
        <w:rPr>
          <w:rFonts w:asciiTheme="minorHAnsi" w:hAnsiTheme="minorHAnsi" w:cstheme="minorHAnsi"/>
          <w:sz w:val="22"/>
          <w:szCs w:val="22"/>
        </w:rPr>
      </w:pPr>
      <w:r w:rsidRPr="00633370">
        <w:rPr>
          <w:rFonts w:asciiTheme="minorHAnsi" w:hAnsiTheme="minorHAnsi" w:cstheme="minorHAnsi"/>
          <w:sz w:val="22"/>
          <w:szCs w:val="22"/>
        </w:rPr>
        <w:t>Coffrage industriel pour exécution d’un parement soigné 2 faces</w:t>
      </w:r>
    </w:p>
    <w:p w:rsidR="00875878" w:rsidRPr="00633370" w:rsidRDefault="00875878" w:rsidP="00875878">
      <w:pPr>
        <w:pStyle w:val="Paragraphedeliste"/>
        <w:numPr>
          <w:ilvl w:val="0"/>
          <w:numId w:val="3"/>
        </w:numPr>
        <w:ind w:firstLine="66"/>
        <w:jc w:val="both"/>
        <w:rPr>
          <w:rFonts w:asciiTheme="minorHAnsi" w:hAnsiTheme="minorHAnsi" w:cstheme="minorHAnsi"/>
          <w:sz w:val="22"/>
          <w:szCs w:val="22"/>
        </w:rPr>
      </w:pPr>
      <w:r w:rsidRPr="00633370">
        <w:rPr>
          <w:rFonts w:asciiTheme="minorHAnsi" w:hAnsiTheme="minorHAnsi" w:cstheme="minorHAnsi"/>
          <w:sz w:val="22"/>
          <w:szCs w:val="22"/>
        </w:rPr>
        <w:t>Arêtes chanfreinées des panneaux</w:t>
      </w:r>
    </w:p>
    <w:p w:rsidR="00875878" w:rsidRPr="00633370" w:rsidRDefault="00875878" w:rsidP="00875878">
      <w:pPr>
        <w:pStyle w:val="Paragraphedeliste"/>
        <w:numPr>
          <w:ilvl w:val="0"/>
          <w:numId w:val="3"/>
        </w:numPr>
        <w:ind w:firstLine="66"/>
        <w:jc w:val="both"/>
        <w:rPr>
          <w:rFonts w:asciiTheme="minorHAnsi" w:hAnsiTheme="minorHAnsi" w:cstheme="minorHAnsi"/>
          <w:sz w:val="22"/>
          <w:szCs w:val="22"/>
        </w:rPr>
      </w:pPr>
      <w:r w:rsidRPr="00633370">
        <w:rPr>
          <w:rFonts w:asciiTheme="minorHAnsi" w:hAnsiTheme="minorHAnsi" w:cstheme="minorHAnsi"/>
          <w:sz w:val="22"/>
          <w:szCs w:val="22"/>
        </w:rPr>
        <w:t xml:space="preserve">Connecteurs pultrudés, en fibre de verre et résine </w:t>
      </w:r>
      <w:proofErr w:type="spellStart"/>
      <w:r w:rsidRPr="00633370">
        <w:rPr>
          <w:rFonts w:asciiTheme="minorHAnsi" w:hAnsiTheme="minorHAnsi" w:cstheme="minorHAnsi"/>
          <w:sz w:val="22"/>
          <w:szCs w:val="22"/>
        </w:rPr>
        <w:t>vinylester</w:t>
      </w:r>
      <w:proofErr w:type="spellEnd"/>
      <w:r w:rsidRPr="00633370">
        <w:rPr>
          <w:rFonts w:asciiTheme="minorHAnsi" w:hAnsiTheme="minorHAnsi" w:cstheme="minorHAnsi"/>
          <w:sz w:val="22"/>
          <w:szCs w:val="22"/>
        </w:rPr>
        <w:t xml:space="preserve"> usiné reliant les parois intérieures et extérieures à travers l’isolant intégré,</w:t>
      </w:r>
    </w:p>
    <w:p w:rsidR="00875878" w:rsidRPr="00633370" w:rsidRDefault="00875878" w:rsidP="00875878">
      <w:pPr>
        <w:pStyle w:val="Paragraphedeliste"/>
        <w:numPr>
          <w:ilvl w:val="0"/>
          <w:numId w:val="3"/>
        </w:numPr>
        <w:ind w:firstLine="66"/>
        <w:jc w:val="both"/>
        <w:rPr>
          <w:rFonts w:asciiTheme="minorHAnsi" w:hAnsiTheme="minorHAnsi" w:cstheme="minorHAnsi"/>
          <w:sz w:val="22"/>
          <w:szCs w:val="22"/>
        </w:rPr>
      </w:pPr>
      <w:r w:rsidRPr="00633370">
        <w:rPr>
          <w:rFonts w:asciiTheme="minorHAnsi" w:hAnsiTheme="minorHAnsi" w:cstheme="minorHAnsi"/>
          <w:sz w:val="22"/>
          <w:szCs w:val="22"/>
        </w:rPr>
        <w:t>Ancre Porteuse cylindrique en acier inoxydable de diamètre 25.5mm et d’épaisseur 3mm servant à rigidifier les deux parois en béton ; il assure en outre le maintien de la peau extérieure en cas d’incendie</w:t>
      </w:r>
    </w:p>
    <w:p w:rsidR="00875878" w:rsidRPr="00633370" w:rsidRDefault="00875878" w:rsidP="00875878">
      <w:pPr>
        <w:pStyle w:val="Paragraphedeliste"/>
        <w:numPr>
          <w:ilvl w:val="0"/>
          <w:numId w:val="3"/>
        </w:numPr>
        <w:ind w:firstLine="66"/>
        <w:jc w:val="both"/>
        <w:rPr>
          <w:rFonts w:asciiTheme="minorHAnsi" w:hAnsiTheme="minorHAnsi" w:cstheme="minorHAnsi"/>
          <w:sz w:val="22"/>
          <w:szCs w:val="22"/>
        </w:rPr>
      </w:pPr>
      <w:r w:rsidRPr="00633370">
        <w:rPr>
          <w:rFonts w:asciiTheme="minorHAnsi" w:hAnsiTheme="minorHAnsi" w:cstheme="minorHAnsi"/>
          <w:sz w:val="22"/>
          <w:szCs w:val="22"/>
        </w:rPr>
        <w:t>Intégration d’armatures statiquement nécessaires suivant étude du BET Structure, de l’entreprise générale</w:t>
      </w:r>
    </w:p>
    <w:p w:rsidR="00875878" w:rsidRPr="00633370" w:rsidRDefault="00875878" w:rsidP="00875878">
      <w:pPr>
        <w:pStyle w:val="Paragraphedeliste"/>
        <w:numPr>
          <w:ilvl w:val="0"/>
          <w:numId w:val="3"/>
        </w:numPr>
        <w:ind w:firstLine="66"/>
        <w:jc w:val="both"/>
        <w:rPr>
          <w:rFonts w:asciiTheme="minorHAnsi" w:hAnsiTheme="minorHAnsi" w:cstheme="minorHAnsi"/>
          <w:sz w:val="22"/>
          <w:szCs w:val="22"/>
        </w:rPr>
      </w:pPr>
      <w:r w:rsidRPr="00633370">
        <w:rPr>
          <w:rFonts w:asciiTheme="minorHAnsi" w:hAnsiTheme="minorHAnsi" w:cstheme="minorHAnsi"/>
          <w:sz w:val="22"/>
          <w:szCs w:val="22"/>
        </w:rPr>
        <w:t>Incorporation de réservations diverses, boîtiers, mannequins pour baies et autres équipements</w:t>
      </w:r>
    </w:p>
    <w:p w:rsidR="00875878" w:rsidRPr="00633370" w:rsidRDefault="00875878" w:rsidP="00875878">
      <w:pPr>
        <w:jc w:val="both"/>
        <w:rPr>
          <w:rFonts w:cstheme="minorHAnsi"/>
        </w:rPr>
      </w:pPr>
    </w:p>
    <w:p w:rsidR="00875878" w:rsidRPr="00633370" w:rsidRDefault="00875878" w:rsidP="00875878">
      <w:pPr>
        <w:jc w:val="both"/>
        <w:rPr>
          <w:rFonts w:cstheme="minorHAnsi"/>
        </w:rPr>
      </w:pPr>
    </w:p>
    <w:p w:rsidR="00875878" w:rsidRPr="00633370" w:rsidRDefault="00875878" w:rsidP="00875878">
      <w:pPr>
        <w:jc w:val="both"/>
        <w:rPr>
          <w:rFonts w:cstheme="minorHAnsi"/>
        </w:rPr>
      </w:pPr>
      <w:r w:rsidRPr="00633370">
        <w:rPr>
          <w:rFonts w:cstheme="minorHAnsi"/>
          <w:u w:val="single"/>
        </w:rPr>
        <w:t>Manutention, Levage, Stockage</w:t>
      </w:r>
      <w:r w:rsidRPr="00633370">
        <w:rPr>
          <w:rFonts w:cstheme="minorHAnsi"/>
        </w:rPr>
        <w:t> :</w:t>
      </w:r>
    </w:p>
    <w:p w:rsidR="00875878" w:rsidRPr="00633370" w:rsidRDefault="00875878" w:rsidP="00875878">
      <w:pPr>
        <w:numPr>
          <w:ilvl w:val="0"/>
          <w:numId w:val="4"/>
        </w:numPr>
        <w:spacing w:after="0" w:line="240" w:lineRule="auto"/>
        <w:jc w:val="both"/>
        <w:rPr>
          <w:rFonts w:cstheme="minorHAnsi"/>
        </w:rPr>
      </w:pPr>
      <w:r w:rsidRPr="00633370">
        <w:rPr>
          <w:rFonts w:cstheme="minorHAnsi"/>
        </w:rPr>
        <w:t xml:space="preserve">L’Avis Technique du </w:t>
      </w:r>
      <w:proofErr w:type="spellStart"/>
      <w:r w:rsidRPr="00633370">
        <w:rPr>
          <w:rFonts w:cstheme="minorHAnsi"/>
        </w:rPr>
        <w:t>préfabricant</w:t>
      </w:r>
      <w:proofErr w:type="spellEnd"/>
      <w:r w:rsidRPr="00633370">
        <w:rPr>
          <w:rFonts w:cstheme="minorHAnsi"/>
        </w:rPr>
        <w:t xml:space="preserve"> retenu devra garantir les CMU des câbles de levage en acier galvanisé intégrés dans les voiles préfabriqués pour la manutention des panneaux, en particulier pour les panneaux d’épaisseurs supérieure à 40 cm. </w:t>
      </w:r>
    </w:p>
    <w:p w:rsidR="00875878" w:rsidRPr="00633370" w:rsidRDefault="00875878" w:rsidP="00875878">
      <w:pPr>
        <w:numPr>
          <w:ilvl w:val="0"/>
          <w:numId w:val="4"/>
        </w:numPr>
        <w:spacing w:after="0" w:line="240" w:lineRule="auto"/>
        <w:jc w:val="both"/>
        <w:rPr>
          <w:rFonts w:cstheme="minorHAnsi"/>
        </w:rPr>
      </w:pPr>
      <w:r w:rsidRPr="00633370">
        <w:rPr>
          <w:rFonts w:cstheme="minorHAnsi"/>
        </w:rPr>
        <w:t xml:space="preserve">Les MC2I de type </w:t>
      </w:r>
      <w:proofErr w:type="spellStart"/>
      <w:r w:rsidRPr="00633370">
        <w:rPr>
          <w:rFonts w:cstheme="minorHAnsi"/>
        </w:rPr>
        <w:t>Précoffré</w:t>
      </w:r>
      <w:proofErr w:type="spellEnd"/>
      <w:r w:rsidRPr="00633370">
        <w:rPr>
          <w:rFonts w:cstheme="minorHAnsi"/>
        </w:rPr>
        <w:t>® Thermiques ou équivalent sont stockés verticalement dans des conteneurs métalliques, respectant les dispositions de l’INRS, et livrés par remorques auto-déchargeuse.</w:t>
      </w:r>
    </w:p>
    <w:p w:rsidR="00875878" w:rsidRDefault="00875878" w:rsidP="00875878">
      <w:pPr>
        <w:ind w:left="720"/>
        <w:jc w:val="both"/>
        <w:rPr>
          <w:rFonts w:cstheme="minorHAnsi"/>
        </w:rPr>
      </w:pPr>
    </w:p>
    <w:p w:rsidR="00633370" w:rsidRPr="00633370" w:rsidRDefault="00633370" w:rsidP="00875878">
      <w:pPr>
        <w:ind w:left="720"/>
        <w:jc w:val="both"/>
        <w:rPr>
          <w:rFonts w:cstheme="minorHAnsi"/>
        </w:rPr>
      </w:pPr>
      <w:bookmarkStart w:id="0" w:name="_GoBack"/>
      <w:bookmarkEnd w:id="0"/>
    </w:p>
    <w:p w:rsidR="00875878" w:rsidRPr="00633370" w:rsidRDefault="00875878" w:rsidP="00875878">
      <w:pPr>
        <w:jc w:val="both"/>
        <w:rPr>
          <w:rFonts w:cstheme="minorHAnsi"/>
          <w:u w:val="single"/>
        </w:rPr>
      </w:pPr>
      <w:r w:rsidRPr="00633370">
        <w:rPr>
          <w:rFonts w:cstheme="minorHAnsi"/>
          <w:u w:val="single"/>
        </w:rPr>
        <w:t>Mise en œuvre :</w:t>
      </w:r>
    </w:p>
    <w:p w:rsidR="00875878" w:rsidRPr="00633370" w:rsidRDefault="00875878" w:rsidP="00633370">
      <w:pPr>
        <w:jc w:val="both"/>
        <w:rPr>
          <w:rFonts w:cstheme="minorHAnsi"/>
        </w:rPr>
      </w:pPr>
      <w:r w:rsidRPr="00633370">
        <w:rPr>
          <w:rFonts w:cstheme="minorHAnsi"/>
        </w:rPr>
        <w:t>La mise-en-œuvre sur chantier est assurée par l’Entreprise générale et comprendra entre autres :</w:t>
      </w:r>
    </w:p>
    <w:p w:rsidR="00875878" w:rsidRPr="00633370" w:rsidRDefault="00875878" w:rsidP="00875878">
      <w:pPr>
        <w:numPr>
          <w:ilvl w:val="0"/>
          <w:numId w:val="1"/>
        </w:numPr>
        <w:spacing w:after="0" w:line="240" w:lineRule="auto"/>
        <w:jc w:val="both"/>
        <w:rPr>
          <w:rFonts w:cstheme="minorHAnsi"/>
        </w:rPr>
      </w:pPr>
      <w:r w:rsidRPr="00633370">
        <w:rPr>
          <w:rFonts w:cstheme="minorHAnsi"/>
        </w:rPr>
        <w:t>Mise en œuvre des panneaux avec mise en place d’étais pendant le montage et bétonnage compris dépose et rebouchage des trous d’étayage et de manutention</w:t>
      </w:r>
    </w:p>
    <w:p w:rsidR="00875878" w:rsidRPr="00633370" w:rsidRDefault="00875878" w:rsidP="00875878">
      <w:pPr>
        <w:numPr>
          <w:ilvl w:val="0"/>
          <w:numId w:val="1"/>
        </w:numPr>
        <w:spacing w:after="0" w:line="240" w:lineRule="auto"/>
        <w:jc w:val="both"/>
        <w:rPr>
          <w:rFonts w:cstheme="minorHAnsi"/>
        </w:rPr>
      </w:pPr>
      <w:r w:rsidRPr="00633370">
        <w:rPr>
          <w:rFonts w:cstheme="minorHAnsi"/>
        </w:rPr>
        <w:t xml:space="preserve">L’implantation et le traçage des murs compris la pose sur cales ou lit de mortier </w:t>
      </w:r>
    </w:p>
    <w:p w:rsidR="00875878" w:rsidRPr="00633370" w:rsidRDefault="00875878" w:rsidP="00875878">
      <w:pPr>
        <w:numPr>
          <w:ilvl w:val="0"/>
          <w:numId w:val="1"/>
        </w:numPr>
        <w:spacing w:after="0" w:line="240" w:lineRule="auto"/>
        <w:jc w:val="both"/>
        <w:rPr>
          <w:rFonts w:cstheme="minorHAnsi"/>
        </w:rPr>
      </w:pPr>
      <w:r w:rsidRPr="00633370">
        <w:rPr>
          <w:rFonts w:cstheme="minorHAnsi"/>
        </w:rPr>
        <w:t xml:space="preserve">La mise en œuvre sur chantier des armatures de liaison et couture, en complément des aciers de liaison intégrés aux MC2I, selon les dispositions du BET Structure et des spécifications figurant dans l’Avis Technique des </w:t>
      </w:r>
      <w:proofErr w:type="spellStart"/>
      <w:r w:rsidRPr="00633370">
        <w:rPr>
          <w:rFonts w:cstheme="minorHAnsi"/>
        </w:rPr>
        <w:t>Précoffré</w:t>
      </w:r>
      <w:proofErr w:type="spellEnd"/>
      <w:r w:rsidRPr="00633370">
        <w:rPr>
          <w:rFonts w:cstheme="minorHAnsi"/>
        </w:rPr>
        <w:t>® Thermiques</w:t>
      </w:r>
    </w:p>
    <w:p w:rsidR="00875878" w:rsidRPr="00633370" w:rsidRDefault="00875878" w:rsidP="00875878">
      <w:pPr>
        <w:numPr>
          <w:ilvl w:val="0"/>
          <w:numId w:val="1"/>
        </w:numPr>
        <w:spacing w:after="0" w:line="240" w:lineRule="auto"/>
        <w:jc w:val="both"/>
        <w:rPr>
          <w:rFonts w:cstheme="minorHAnsi"/>
        </w:rPr>
      </w:pPr>
      <w:r w:rsidRPr="00633370">
        <w:rPr>
          <w:rFonts w:cstheme="minorHAnsi"/>
        </w:rPr>
        <w:t xml:space="preserve">Le béton de remplissage prêt à l’emploi coulé sur le chantier, sera conforme aux exigences structurelles du projet et au minimum à la norme NF EN 206/CN et dans le cas général de type BPS. La résistance caractéristique en compression à 28 jours est au moins de 25 MPa (classe de résistance mini C25/30). La mise en œuvre devra respecter les dispositions figurant dans l’Avis Technique des </w:t>
      </w:r>
      <w:proofErr w:type="spellStart"/>
      <w:r w:rsidRPr="00633370">
        <w:rPr>
          <w:rFonts w:cstheme="minorHAnsi"/>
        </w:rPr>
        <w:t>Précoffré</w:t>
      </w:r>
      <w:proofErr w:type="spellEnd"/>
      <w:r w:rsidRPr="00633370">
        <w:rPr>
          <w:rFonts w:cstheme="minorHAnsi"/>
        </w:rPr>
        <w:t>® Thermiques.</w:t>
      </w:r>
    </w:p>
    <w:p w:rsidR="00FF4613" w:rsidRPr="00633370" w:rsidRDefault="00875878" w:rsidP="00FF4613">
      <w:pPr>
        <w:numPr>
          <w:ilvl w:val="0"/>
          <w:numId w:val="1"/>
        </w:numPr>
        <w:spacing w:after="0" w:line="240" w:lineRule="auto"/>
        <w:jc w:val="both"/>
        <w:rPr>
          <w:rFonts w:cstheme="minorHAnsi"/>
        </w:rPr>
      </w:pPr>
      <w:r w:rsidRPr="00633370">
        <w:rPr>
          <w:rFonts w:cstheme="minorHAnsi"/>
        </w:rPr>
        <w:t>Le traitement des joints intérieurs et extérieurs entre panneaux préfabriqués suivant Avis Technique et en fonction de la localisation et la finition imposée</w:t>
      </w:r>
    </w:p>
    <w:p w:rsidR="00FF4613" w:rsidRPr="00633370" w:rsidRDefault="00FF4613" w:rsidP="00FF4613">
      <w:pPr>
        <w:rPr>
          <w:rFonts w:cstheme="minorHAnsi"/>
        </w:rPr>
      </w:pPr>
    </w:p>
    <w:p w:rsidR="00FF4613" w:rsidRPr="00633370" w:rsidRDefault="00FF4613" w:rsidP="00FF4613">
      <w:pPr>
        <w:rPr>
          <w:rFonts w:cstheme="minorHAnsi"/>
        </w:rPr>
      </w:pPr>
    </w:p>
    <w:p w:rsidR="00FF4613" w:rsidRPr="00633370" w:rsidRDefault="00FF4613" w:rsidP="00FF4613">
      <w:pPr>
        <w:rPr>
          <w:rFonts w:cstheme="minorHAnsi"/>
        </w:rPr>
      </w:pPr>
    </w:p>
    <w:p w:rsidR="00FF4613" w:rsidRPr="00633370" w:rsidRDefault="00FF4613" w:rsidP="00FF4613">
      <w:pPr>
        <w:rPr>
          <w:rFonts w:cstheme="minorHAnsi"/>
        </w:rPr>
      </w:pPr>
    </w:p>
    <w:p w:rsidR="003D0D69" w:rsidRPr="00633370" w:rsidRDefault="003D0D69" w:rsidP="00FF4613">
      <w:pPr>
        <w:jc w:val="center"/>
        <w:rPr>
          <w:rFonts w:cstheme="minorHAnsi"/>
        </w:rPr>
      </w:pPr>
    </w:p>
    <w:sectPr w:rsidR="003D0D69" w:rsidRPr="00633370" w:rsidSect="00FF4613">
      <w:headerReference w:type="default" r:id="rId7"/>
      <w:footerReference w:type="default" r:id="rId8"/>
      <w:pgSz w:w="11906" w:h="16838"/>
      <w:pgMar w:top="900" w:right="707" w:bottom="1417" w:left="1417"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871" w:rsidRDefault="003C5871" w:rsidP="003C5871">
      <w:pPr>
        <w:spacing w:after="0" w:line="240" w:lineRule="auto"/>
      </w:pPr>
      <w:r>
        <w:separator/>
      </w:r>
    </w:p>
  </w:endnote>
  <w:endnote w:type="continuationSeparator" w:id="0">
    <w:p w:rsidR="003C5871" w:rsidRDefault="003C5871" w:rsidP="003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71" w:rsidRDefault="00BF1505" w:rsidP="00730D93">
    <w:pPr>
      <w:pStyle w:val="Pieddepage"/>
      <w:ind w:left="-851" w:right="-141"/>
      <w:jc w:val="center"/>
    </w:pPr>
    <w:r>
      <w:rPr>
        <w:noProof/>
      </w:rPr>
      <w:drawing>
        <wp:inline distT="0" distB="0" distL="0" distR="0">
          <wp:extent cx="7008759" cy="869109"/>
          <wp:effectExtent l="0" t="0" r="190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jpg"/>
                  <pic:cNvPicPr/>
                </pic:nvPicPr>
                <pic:blipFill>
                  <a:blip r:embed="rId1">
                    <a:extLst>
                      <a:ext uri="{28A0092B-C50C-407E-A947-70E740481C1C}">
                        <a14:useLocalDpi xmlns:a14="http://schemas.microsoft.com/office/drawing/2010/main" val="0"/>
                      </a:ext>
                    </a:extLst>
                  </a:blip>
                  <a:stretch>
                    <a:fillRect/>
                  </a:stretch>
                </pic:blipFill>
                <pic:spPr>
                  <a:xfrm>
                    <a:off x="0" y="0"/>
                    <a:ext cx="7033682" cy="872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871" w:rsidRDefault="003C5871" w:rsidP="003C5871">
      <w:pPr>
        <w:spacing w:after="0" w:line="240" w:lineRule="auto"/>
      </w:pPr>
      <w:r>
        <w:separator/>
      </w:r>
    </w:p>
  </w:footnote>
  <w:footnote w:type="continuationSeparator" w:id="0">
    <w:p w:rsidR="003C5871" w:rsidRDefault="003C5871" w:rsidP="003C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71" w:rsidRDefault="00BF1505" w:rsidP="00D50048">
    <w:pPr>
      <w:pStyle w:val="En-tte"/>
      <w:ind w:left="-709"/>
      <w:jc w:val="center"/>
    </w:pPr>
    <w:r>
      <w:rPr>
        <w:noProof/>
      </w:rPr>
      <w:drawing>
        <wp:inline distT="0" distB="0" distL="0" distR="0">
          <wp:extent cx="6548292" cy="1050324"/>
          <wp:effectExtent l="0" t="0" r="5080" b="0"/>
          <wp:docPr id="1" name="Image 1"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t.jpg"/>
                  <pic:cNvPicPr/>
                </pic:nvPicPr>
                <pic:blipFill>
                  <a:blip r:embed="rId1">
                    <a:extLst>
                      <a:ext uri="{28A0092B-C50C-407E-A947-70E740481C1C}">
                        <a14:useLocalDpi xmlns:a14="http://schemas.microsoft.com/office/drawing/2010/main" val="0"/>
                      </a:ext>
                    </a:extLst>
                  </a:blip>
                  <a:stretch>
                    <a:fillRect/>
                  </a:stretch>
                </pic:blipFill>
                <pic:spPr>
                  <a:xfrm>
                    <a:off x="0" y="0"/>
                    <a:ext cx="6587110" cy="1056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9CF"/>
    <w:multiLevelType w:val="hybridMultilevel"/>
    <w:tmpl w:val="3BB602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AED0342"/>
    <w:multiLevelType w:val="singleLevel"/>
    <w:tmpl w:val="37400922"/>
    <w:lvl w:ilvl="0">
      <w:start w:val="2"/>
      <w:numFmt w:val="bullet"/>
      <w:lvlText w:val="-"/>
      <w:lvlJc w:val="left"/>
      <w:pPr>
        <w:ind w:left="720" w:hanging="360"/>
      </w:pPr>
      <w:rPr>
        <w:rFonts w:ascii="Times New Roman" w:hAnsi="Times New Roman" w:hint="default"/>
      </w:rPr>
    </w:lvl>
  </w:abstractNum>
  <w:abstractNum w:abstractNumId="2" w15:restartNumberingAfterBreak="0">
    <w:nsid w:val="67190964"/>
    <w:multiLevelType w:val="hybridMultilevel"/>
    <w:tmpl w:val="ED929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7F1186"/>
    <w:multiLevelType w:val="hybridMultilevel"/>
    <w:tmpl w:val="FE3018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71"/>
    <w:rsid w:val="002456EC"/>
    <w:rsid w:val="003C5871"/>
    <w:rsid w:val="003D0D69"/>
    <w:rsid w:val="0059261E"/>
    <w:rsid w:val="00633370"/>
    <w:rsid w:val="00730D93"/>
    <w:rsid w:val="007E5681"/>
    <w:rsid w:val="0082169D"/>
    <w:rsid w:val="00875878"/>
    <w:rsid w:val="00AB020E"/>
    <w:rsid w:val="00AB190C"/>
    <w:rsid w:val="00BF1505"/>
    <w:rsid w:val="00D50048"/>
    <w:rsid w:val="00FF4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6F597"/>
  <w15:chartTrackingRefBased/>
  <w15:docId w15:val="{642E3325-11BB-4120-ADFF-E1797361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autoRedefine/>
    <w:qFormat/>
    <w:rsid w:val="00875878"/>
    <w:pPr>
      <w:keepNext/>
      <w:spacing w:before="240" w:after="60" w:line="240" w:lineRule="auto"/>
      <w:outlineLvl w:val="1"/>
    </w:pPr>
    <w:rPr>
      <w:rFonts w:ascii="Arial" w:eastAsia="Times New Roman" w:hAnsi="Arial"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871"/>
    <w:pPr>
      <w:tabs>
        <w:tab w:val="center" w:pos="4536"/>
        <w:tab w:val="right" w:pos="9072"/>
      </w:tabs>
      <w:spacing w:after="0" w:line="240" w:lineRule="auto"/>
    </w:pPr>
  </w:style>
  <w:style w:type="character" w:customStyle="1" w:styleId="En-tteCar">
    <w:name w:val="En-tête Car"/>
    <w:basedOn w:val="Policepardfaut"/>
    <w:link w:val="En-tte"/>
    <w:uiPriority w:val="99"/>
    <w:rsid w:val="003C5871"/>
  </w:style>
  <w:style w:type="paragraph" w:styleId="Pieddepage">
    <w:name w:val="footer"/>
    <w:basedOn w:val="Normal"/>
    <w:link w:val="PieddepageCar"/>
    <w:uiPriority w:val="99"/>
    <w:unhideWhenUsed/>
    <w:rsid w:val="003C58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871"/>
  </w:style>
  <w:style w:type="character" w:customStyle="1" w:styleId="Titre2Car">
    <w:name w:val="Titre 2 Car"/>
    <w:basedOn w:val="Policepardfaut"/>
    <w:link w:val="Titre2"/>
    <w:rsid w:val="00875878"/>
    <w:rPr>
      <w:rFonts w:ascii="Arial" w:eastAsia="Times New Roman" w:hAnsi="Arial" w:cs="Times New Roman"/>
      <w:b/>
      <w:sz w:val="20"/>
      <w:szCs w:val="20"/>
      <w:lang w:eastAsia="fr-FR"/>
    </w:rPr>
  </w:style>
  <w:style w:type="paragraph" w:styleId="Paragraphedeliste">
    <w:name w:val="List Paragraph"/>
    <w:basedOn w:val="Normal"/>
    <w:uiPriority w:val="34"/>
    <w:qFormat/>
    <w:rsid w:val="00875878"/>
    <w:pPr>
      <w:spacing w:after="0" w:line="240" w:lineRule="auto"/>
      <w:ind w:left="720"/>
      <w:contextualSpacing/>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SENGER</dc:creator>
  <cp:keywords/>
  <dc:description/>
  <cp:lastModifiedBy>Sandrine SENGER</cp:lastModifiedBy>
  <cp:revision>2</cp:revision>
  <dcterms:created xsi:type="dcterms:W3CDTF">2019-05-09T11:51:00Z</dcterms:created>
  <dcterms:modified xsi:type="dcterms:W3CDTF">2019-05-09T11:51:00Z</dcterms:modified>
</cp:coreProperties>
</file>